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0" w:type="auto"/>
        <w:tblLook w:val="04A0" w:firstRow="1" w:lastRow="0" w:firstColumn="1" w:lastColumn="0" w:noHBand="0" w:noVBand="1"/>
      </w:tblPr>
      <w:tblGrid>
        <w:gridCol w:w="11448"/>
        <w:gridCol w:w="2528"/>
      </w:tblGrid>
      <w:tr w:rsidR="00EB0645" w:rsidTr="00EB0645">
        <w:trPr>
          <w:trHeight w:val="270"/>
        </w:trPr>
        <w:tc>
          <w:tcPr>
            <w:tcW w:w="11448" w:type="dxa"/>
          </w:tcPr>
          <w:p w:rsidR="00EB0645" w:rsidRDefault="00EB0645" w:rsidP="00EB0645">
            <w:bookmarkStart w:id="0" w:name="_GoBack"/>
            <w:bookmarkEnd w:id="0"/>
            <w:r>
              <w:t>Analysis Area</w:t>
            </w:r>
          </w:p>
        </w:tc>
        <w:tc>
          <w:tcPr>
            <w:tcW w:w="2528" w:type="dxa"/>
          </w:tcPr>
          <w:p w:rsidR="00EB0645" w:rsidRDefault="00EB0645" w:rsidP="00EB0645">
            <w:r>
              <w:t>Key Words</w:t>
            </w:r>
          </w:p>
        </w:tc>
      </w:tr>
      <w:tr w:rsidR="00EB0645" w:rsidTr="00EB0645">
        <w:trPr>
          <w:trHeight w:val="1566"/>
        </w:trPr>
        <w:tc>
          <w:tcPr>
            <w:tcW w:w="11448" w:type="dxa"/>
          </w:tcPr>
          <w:p w:rsidR="00EB0645" w:rsidRDefault="00EB0645" w:rsidP="00EB0645">
            <w:r>
              <w:t>Composition:</w:t>
            </w:r>
          </w:p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</w:tc>
        <w:tc>
          <w:tcPr>
            <w:tcW w:w="2528" w:type="dxa"/>
          </w:tcPr>
          <w:p w:rsidR="00EB0645" w:rsidRDefault="00EB0645" w:rsidP="00EB0645">
            <w:r>
              <w:t>Z-Line</w:t>
            </w:r>
          </w:p>
          <w:p w:rsidR="00EB0645" w:rsidRDefault="00EB0645" w:rsidP="00EB0645">
            <w:r>
              <w:t>Rule of thirds</w:t>
            </w:r>
          </w:p>
        </w:tc>
      </w:tr>
      <w:tr w:rsidR="00EB0645" w:rsidTr="00EB0645">
        <w:trPr>
          <w:trHeight w:val="1566"/>
        </w:trPr>
        <w:tc>
          <w:tcPr>
            <w:tcW w:w="11448" w:type="dxa"/>
          </w:tcPr>
          <w:p w:rsidR="00EB0645" w:rsidRDefault="00EB0645" w:rsidP="00EB0645">
            <w:r>
              <w:t>Colours:</w:t>
            </w:r>
          </w:p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</w:tc>
        <w:tc>
          <w:tcPr>
            <w:tcW w:w="2528" w:type="dxa"/>
          </w:tcPr>
          <w:p w:rsidR="00EB0645" w:rsidRDefault="00EB0645" w:rsidP="00EB0645">
            <w:r>
              <w:t>Primary colours</w:t>
            </w:r>
          </w:p>
          <w:p w:rsidR="00EB0645" w:rsidRDefault="00EB0645" w:rsidP="00EB0645">
            <w:r>
              <w:t>Secondary colours</w:t>
            </w:r>
          </w:p>
          <w:p w:rsidR="00EB0645" w:rsidRDefault="00EB0645" w:rsidP="00EB0645">
            <w:r>
              <w:t>Connotations</w:t>
            </w:r>
          </w:p>
          <w:p w:rsidR="00EB0645" w:rsidRDefault="00EB0645" w:rsidP="00EB0645">
            <w:r>
              <w:t>Contrasts</w:t>
            </w:r>
          </w:p>
        </w:tc>
      </w:tr>
      <w:tr w:rsidR="00EB0645" w:rsidTr="00EB0645">
        <w:trPr>
          <w:trHeight w:val="1566"/>
        </w:trPr>
        <w:tc>
          <w:tcPr>
            <w:tcW w:w="11448" w:type="dxa"/>
          </w:tcPr>
          <w:p w:rsidR="00EB0645" w:rsidRDefault="00EB0645" w:rsidP="00EB0645">
            <w:r>
              <w:t>Written elements:</w:t>
            </w:r>
          </w:p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</w:tc>
        <w:tc>
          <w:tcPr>
            <w:tcW w:w="2528" w:type="dxa"/>
          </w:tcPr>
          <w:p w:rsidR="00EB0645" w:rsidRDefault="00EB0645" w:rsidP="00EB0645">
            <w:r>
              <w:t>Headings</w:t>
            </w:r>
          </w:p>
          <w:p w:rsidR="00EB0645" w:rsidRDefault="00EB0645" w:rsidP="00EB0645">
            <w:r>
              <w:t>Subheadings</w:t>
            </w:r>
          </w:p>
          <w:p w:rsidR="00EB0645" w:rsidRDefault="00EB0645" w:rsidP="00EB0645">
            <w:r>
              <w:t>Slogans</w:t>
            </w:r>
          </w:p>
          <w:p w:rsidR="00EB0645" w:rsidRDefault="00EB0645" w:rsidP="00EB0645">
            <w:r>
              <w:t>Typography</w:t>
            </w:r>
          </w:p>
        </w:tc>
      </w:tr>
      <w:tr w:rsidR="00EB0645" w:rsidTr="00EB0645">
        <w:trPr>
          <w:trHeight w:val="1659"/>
        </w:trPr>
        <w:tc>
          <w:tcPr>
            <w:tcW w:w="11448" w:type="dxa"/>
          </w:tcPr>
          <w:p w:rsidR="00EB0645" w:rsidRDefault="00EB0645" w:rsidP="00EB0645">
            <w:proofErr w:type="spellStart"/>
            <w:r>
              <w:t>Mise</w:t>
            </w:r>
            <w:proofErr w:type="spellEnd"/>
            <w:r>
              <w:t>-en-scene</w:t>
            </w:r>
          </w:p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  <w:p w:rsidR="00EB0645" w:rsidRDefault="00EB0645" w:rsidP="00EB0645"/>
        </w:tc>
        <w:tc>
          <w:tcPr>
            <w:tcW w:w="2528" w:type="dxa"/>
          </w:tcPr>
          <w:p w:rsidR="00EB0645" w:rsidRDefault="00EB0645" w:rsidP="00EB0645">
            <w:r>
              <w:t>Iconography</w:t>
            </w:r>
          </w:p>
          <w:p w:rsidR="00EB0645" w:rsidRDefault="00EB0645" w:rsidP="00EB0645">
            <w:r>
              <w:t>Semiotics (signs)</w:t>
            </w:r>
          </w:p>
          <w:p w:rsidR="00EB0645" w:rsidRDefault="00EB0645" w:rsidP="00EB0645">
            <w:r>
              <w:t>Props</w:t>
            </w:r>
          </w:p>
          <w:p w:rsidR="00EB0645" w:rsidRDefault="00EB0645" w:rsidP="00EB0645">
            <w:r>
              <w:t>Costume</w:t>
            </w:r>
          </w:p>
          <w:p w:rsidR="00EB0645" w:rsidRDefault="00EB0645" w:rsidP="00EB0645">
            <w:r>
              <w:t>Make up background</w:t>
            </w:r>
          </w:p>
        </w:tc>
      </w:tr>
    </w:tbl>
    <w:p w:rsidR="002564D6" w:rsidRPr="00EB0645" w:rsidRDefault="002564D6" w:rsidP="00EB0645">
      <w:pPr>
        <w:rPr>
          <w:b/>
          <w:u w:val="single"/>
        </w:rPr>
      </w:pPr>
    </w:p>
    <w:sectPr w:rsidR="002564D6" w:rsidRPr="00EB0645" w:rsidSect="00EB0645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45" w:rsidRDefault="00EB0645" w:rsidP="00EB0645">
      <w:r>
        <w:separator/>
      </w:r>
    </w:p>
  </w:endnote>
  <w:endnote w:type="continuationSeparator" w:id="0">
    <w:p w:rsidR="00EB0645" w:rsidRDefault="00EB0645" w:rsidP="00EB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45" w:rsidRDefault="00EB0645" w:rsidP="00EB0645">
      <w:r>
        <w:separator/>
      </w:r>
    </w:p>
  </w:footnote>
  <w:footnote w:type="continuationSeparator" w:id="0">
    <w:p w:rsidR="00EB0645" w:rsidRDefault="00EB0645" w:rsidP="00EB0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45" w:rsidRPr="00EB0645" w:rsidRDefault="00EB0645" w:rsidP="00EB0645">
    <w:pPr>
      <w:jc w:val="center"/>
      <w:rPr>
        <w:b/>
        <w:u w:val="single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7FF94261" wp14:editId="18746DDD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1312" behindDoc="0" locked="0" layoutInCell="1" allowOverlap="1" wp14:anchorId="14292405" wp14:editId="095794EF">
          <wp:simplePos x="0" y="0"/>
          <wp:positionH relativeFrom="column">
            <wp:posOffset>8915400</wp:posOffset>
          </wp:positionH>
          <wp:positionV relativeFrom="paragraph">
            <wp:posOffset>-335280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645">
      <w:rPr>
        <w:b/>
        <w:u w:val="single"/>
      </w:rPr>
      <w:t>Review of learning – Tide Advert Analysis</w:t>
    </w:r>
  </w:p>
  <w:p w:rsidR="00EB0645" w:rsidRDefault="00EB0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45"/>
    <w:rsid w:val="002564D6"/>
    <w:rsid w:val="00E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5"/>
  </w:style>
  <w:style w:type="paragraph" w:styleId="Footer">
    <w:name w:val="footer"/>
    <w:basedOn w:val="Normal"/>
    <w:link w:val="FooterChar"/>
    <w:uiPriority w:val="99"/>
    <w:unhideWhenUsed/>
    <w:rsid w:val="00EB0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5"/>
  </w:style>
  <w:style w:type="paragraph" w:styleId="Footer">
    <w:name w:val="footer"/>
    <w:basedOn w:val="Normal"/>
    <w:link w:val="FooterChar"/>
    <w:uiPriority w:val="99"/>
    <w:unhideWhenUsed/>
    <w:rsid w:val="00EB0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cp:lastPrinted>2018-09-19T07:27:00Z</cp:lastPrinted>
  <dcterms:created xsi:type="dcterms:W3CDTF">2018-09-19T07:15:00Z</dcterms:created>
  <dcterms:modified xsi:type="dcterms:W3CDTF">2018-09-19T07:28:00Z</dcterms:modified>
</cp:coreProperties>
</file>